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Override PartName="/word/charts/chart2.xml" ContentType="application/vnd.openxmlformats-officedocument.drawingml.chart+xml"/>
  <Default Extension="xlsx" ContentType="application/vnd.openxmlformats-officedocument.spreadsheetml.sheet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332" w:rsidRDefault="00672332">
      <w:pPr>
        <w:rPr>
          <w:noProof/>
          <w:lang w:eastAsia="en-GB"/>
        </w:rPr>
      </w:pPr>
    </w:p>
    <w:p w:rsidR="00672332" w:rsidRDefault="00A22C5C">
      <w:pPr>
        <w:rPr>
          <w:noProof/>
          <w:lang w:eastAsia="en-GB"/>
        </w:rPr>
      </w:pPr>
      <w:bookmarkStart w:id="0" w:name="_GoBack"/>
      <w:r>
        <w:rPr>
          <w:noProof/>
          <w:lang w:eastAsia="en-GB"/>
        </w:rPr>
        <w:drawing>
          <wp:inline distT="0" distB="0" distL="0" distR="0">
            <wp:extent cx="8764438" cy="5624422"/>
            <wp:effectExtent l="0" t="0" r="17780" b="1460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p w:rsidR="00E53A5F" w:rsidRDefault="00E53A5F"/>
    <w:p w:rsidR="00672332" w:rsidRDefault="00672332">
      <w:r>
        <w:rPr>
          <w:noProof/>
          <w:lang w:eastAsia="en-GB"/>
        </w:rPr>
        <w:drawing>
          <wp:inline distT="0" distB="0" distL="0" distR="0">
            <wp:extent cx="4572000" cy="2986088"/>
            <wp:effectExtent l="0" t="0" r="19050" b="241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672332" w:rsidRPr="00672332" w:rsidRDefault="00672332" w:rsidP="00672332">
      <w:r>
        <w:rPr>
          <w:noProof/>
          <w:lang w:eastAsia="en-GB"/>
        </w:rPr>
        <w:lastRenderedPageBreak/>
        <w:drawing>
          <wp:inline distT="0" distB="0" distL="0" distR="0">
            <wp:extent cx="4572000" cy="2743200"/>
            <wp:effectExtent l="0" t="0" r="19050" b="1905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672332" w:rsidRPr="00672332" w:rsidSect="00672332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72332"/>
    <w:rsid w:val="00672332"/>
    <w:rsid w:val="006905E5"/>
    <w:rsid w:val="00A22C5C"/>
    <w:rsid w:val="00BC70DC"/>
    <w:rsid w:val="00D70D22"/>
    <w:rsid w:val="00E53A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70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2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3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723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23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oleObject" Target="file:///\\Resource\papworth\shared\Alert%20Team\Audit\Monthly%20Audit%20Stats%20for%20Steering%20Group%20Meetings%202012\AKI%20Data%20from%20Formic%20Forms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title>
      <c:tx>
        <c:rich>
          <a:bodyPr/>
          <a:lstStyle/>
          <a:p>
            <a:pPr>
              <a:defRPr/>
            </a:pPr>
            <a:r>
              <a:rPr lang="en-US"/>
              <a:t>Acute Kidney Injury - The Papworth Experience</a:t>
            </a:r>
          </a:p>
        </c:rich>
      </c:tx>
      <c:layout/>
    </c:title>
    <c:plotArea>
      <c:layout>
        <c:manualLayout>
          <c:layoutTarget val="inner"/>
          <c:xMode val="edge"/>
          <c:yMode val="edge"/>
          <c:x val="3.1305774278215237E-2"/>
          <c:y val="8.8028366224096516E-2"/>
          <c:w val="0.94956854266167545"/>
          <c:h val="0.77448736533456319"/>
        </c:manualLayout>
      </c:layout>
      <c:lineChart>
        <c:grouping val="standard"/>
        <c:ser>
          <c:idx val="0"/>
          <c:order val="0"/>
          <c:tx>
            <c:strRef>
              <c:f>Report!$C$5</c:f>
              <c:strCache>
                <c:ptCount val="1"/>
                <c:pt idx="0">
                  <c:v>Number of Referrals for 'Renal Inc low UO' </c:v>
                </c:pt>
              </c:strCache>
            </c:strRef>
          </c:tx>
          <c:marker>
            <c:symbol val="diamond"/>
            <c:size val="4"/>
          </c:marker>
          <c:cat>
            <c:numRef>
              <c:f>Report!$B$6:$B$28</c:f>
              <c:numCache>
                <c:formatCode>mmm\-yy</c:formatCode>
                <c:ptCount val="23"/>
                <c:pt idx="0">
                  <c:v>41365</c:v>
                </c:pt>
                <c:pt idx="1">
                  <c:v>41395</c:v>
                </c:pt>
                <c:pt idx="2">
                  <c:v>41426</c:v>
                </c:pt>
                <c:pt idx="3">
                  <c:v>41456</c:v>
                </c:pt>
                <c:pt idx="4">
                  <c:v>41487</c:v>
                </c:pt>
                <c:pt idx="5">
                  <c:v>41518</c:v>
                </c:pt>
                <c:pt idx="6">
                  <c:v>41548</c:v>
                </c:pt>
                <c:pt idx="7">
                  <c:v>41579</c:v>
                </c:pt>
                <c:pt idx="8">
                  <c:v>41609</c:v>
                </c:pt>
                <c:pt idx="9">
                  <c:v>41640</c:v>
                </c:pt>
                <c:pt idx="10">
                  <c:v>41671</c:v>
                </c:pt>
                <c:pt idx="11">
                  <c:v>41699</c:v>
                </c:pt>
                <c:pt idx="12">
                  <c:v>41730</c:v>
                </c:pt>
                <c:pt idx="13">
                  <c:v>41760</c:v>
                </c:pt>
                <c:pt idx="14">
                  <c:v>41791</c:v>
                </c:pt>
                <c:pt idx="15">
                  <c:v>41821</c:v>
                </c:pt>
                <c:pt idx="16">
                  <c:v>41852</c:v>
                </c:pt>
                <c:pt idx="17">
                  <c:v>41883</c:v>
                </c:pt>
                <c:pt idx="18">
                  <c:v>41913</c:v>
                </c:pt>
                <c:pt idx="19">
                  <c:v>41944</c:v>
                </c:pt>
                <c:pt idx="20">
                  <c:v>41974</c:v>
                </c:pt>
                <c:pt idx="21">
                  <c:v>42005</c:v>
                </c:pt>
                <c:pt idx="22">
                  <c:v>42036</c:v>
                </c:pt>
              </c:numCache>
            </c:numRef>
          </c:cat>
          <c:val>
            <c:numRef>
              <c:f>Report!$C$6:$C$28</c:f>
              <c:numCache>
                <c:formatCode>General</c:formatCode>
                <c:ptCount val="23"/>
                <c:pt idx="0">
                  <c:v>29</c:v>
                </c:pt>
                <c:pt idx="1">
                  <c:v>24</c:v>
                </c:pt>
                <c:pt idx="2">
                  <c:v>14</c:v>
                </c:pt>
                <c:pt idx="3">
                  <c:v>43</c:v>
                </c:pt>
                <c:pt idx="4">
                  <c:v>25</c:v>
                </c:pt>
                <c:pt idx="5">
                  <c:v>25</c:v>
                </c:pt>
                <c:pt idx="6">
                  <c:v>11</c:v>
                </c:pt>
                <c:pt idx="7">
                  <c:v>21</c:v>
                </c:pt>
                <c:pt idx="8">
                  <c:v>12</c:v>
                </c:pt>
                <c:pt idx="9">
                  <c:v>15</c:v>
                </c:pt>
                <c:pt idx="10">
                  <c:v>25</c:v>
                </c:pt>
                <c:pt idx="11">
                  <c:v>19</c:v>
                </c:pt>
                <c:pt idx="12">
                  <c:v>25</c:v>
                </c:pt>
                <c:pt idx="13">
                  <c:v>22</c:v>
                </c:pt>
                <c:pt idx="14">
                  <c:v>17</c:v>
                </c:pt>
                <c:pt idx="15">
                  <c:v>19</c:v>
                </c:pt>
                <c:pt idx="16">
                  <c:v>30</c:v>
                </c:pt>
                <c:pt idx="17">
                  <c:v>18</c:v>
                </c:pt>
                <c:pt idx="18">
                  <c:v>9</c:v>
                </c:pt>
                <c:pt idx="19">
                  <c:v>17</c:v>
                </c:pt>
                <c:pt idx="20">
                  <c:v>14</c:v>
                </c:pt>
                <c:pt idx="21">
                  <c:v>21</c:v>
                </c:pt>
                <c:pt idx="22">
                  <c:v>19</c:v>
                </c:pt>
              </c:numCache>
            </c:numRef>
          </c:val>
        </c:ser>
        <c:ser>
          <c:idx val="1"/>
          <c:order val="1"/>
          <c:tx>
            <c:strRef>
              <c:f>Report!$D$5</c:f>
              <c:strCache>
                <c:ptCount val="1"/>
                <c:pt idx="0">
                  <c:v>Readmission to CCA due to 'Renal/Low UO' </c:v>
                </c:pt>
              </c:strCache>
            </c:strRef>
          </c:tx>
          <c:marker>
            <c:symbol val="square"/>
            <c:size val="4"/>
          </c:marker>
          <c:cat>
            <c:numRef>
              <c:f>Report!$B$6:$B$28</c:f>
              <c:numCache>
                <c:formatCode>mmm\-yy</c:formatCode>
                <c:ptCount val="23"/>
                <c:pt idx="0">
                  <c:v>41365</c:v>
                </c:pt>
                <c:pt idx="1">
                  <c:v>41395</c:v>
                </c:pt>
                <c:pt idx="2">
                  <c:v>41426</c:v>
                </c:pt>
                <c:pt idx="3">
                  <c:v>41456</c:v>
                </c:pt>
                <c:pt idx="4">
                  <c:v>41487</c:v>
                </c:pt>
                <c:pt idx="5">
                  <c:v>41518</c:v>
                </c:pt>
                <c:pt idx="6">
                  <c:v>41548</c:v>
                </c:pt>
                <c:pt idx="7">
                  <c:v>41579</c:v>
                </c:pt>
                <c:pt idx="8">
                  <c:v>41609</c:v>
                </c:pt>
                <c:pt idx="9">
                  <c:v>41640</c:v>
                </c:pt>
                <c:pt idx="10">
                  <c:v>41671</c:v>
                </c:pt>
                <c:pt idx="11">
                  <c:v>41699</c:v>
                </c:pt>
                <c:pt idx="12">
                  <c:v>41730</c:v>
                </c:pt>
                <c:pt idx="13">
                  <c:v>41760</c:v>
                </c:pt>
                <c:pt idx="14">
                  <c:v>41791</c:v>
                </c:pt>
                <c:pt idx="15">
                  <c:v>41821</c:v>
                </c:pt>
                <c:pt idx="16">
                  <c:v>41852</c:v>
                </c:pt>
                <c:pt idx="17">
                  <c:v>41883</c:v>
                </c:pt>
                <c:pt idx="18">
                  <c:v>41913</c:v>
                </c:pt>
                <c:pt idx="19">
                  <c:v>41944</c:v>
                </c:pt>
                <c:pt idx="20">
                  <c:v>41974</c:v>
                </c:pt>
                <c:pt idx="21">
                  <c:v>42005</c:v>
                </c:pt>
                <c:pt idx="22">
                  <c:v>42036</c:v>
                </c:pt>
              </c:numCache>
            </c:numRef>
          </c:cat>
          <c:val>
            <c:numRef>
              <c:f>Report!$D$6:$D$28</c:f>
              <c:numCache>
                <c:formatCode>General</c:formatCode>
                <c:ptCount val="23"/>
                <c:pt idx="0">
                  <c:v>3</c:v>
                </c:pt>
                <c:pt idx="1">
                  <c:v>4</c:v>
                </c:pt>
                <c:pt idx="2">
                  <c:v>0</c:v>
                </c:pt>
                <c:pt idx="3">
                  <c:v>6</c:v>
                </c:pt>
                <c:pt idx="4">
                  <c:v>5</c:v>
                </c:pt>
                <c:pt idx="5">
                  <c:v>4</c:v>
                </c:pt>
                <c:pt idx="6">
                  <c:v>0</c:v>
                </c:pt>
                <c:pt idx="7">
                  <c:v>2</c:v>
                </c:pt>
                <c:pt idx="8">
                  <c:v>1</c:v>
                </c:pt>
                <c:pt idx="9">
                  <c:v>1</c:v>
                </c:pt>
                <c:pt idx="10">
                  <c:v>2</c:v>
                </c:pt>
                <c:pt idx="11">
                  <c:v>2</c:v>
                </c:pt>
                <c:pt idx="12">
                  <c:v>4</c:v>
                </c:pt>
                <c:pt idx="13">
                  <c:v>3</c:v>
                </c:pt>
                <c:pt idx="14">
                  <c:v>3</c:v>
                </c:pt>
                <c:pt idx="15">
                  <c:v>5</c:v>
                </c:pt>
                <c:pt idx="16">
                  <c:v>6</c:v>
                </c:pt>
                <c:pt idx="17">
                  <c:v>2</c:v>
                </c:pt>
                <c:pt idx="18">
                  <c:v>1</c:v>
                </c:pt>
                <c:pt idx="19">
                  <c:v>0</c:v>
                </c:pt>
                <c:pt idx="20">
                  <c:v>0</c:v>
                </c:pt>
                <c:pt idx="21">
                  <c:v>1</c:v>
                </c:pt>
                <c:pt idx="22">
                  <c:v>3</c:v>
                </c:pt>
              </c:numCache>
            </c:numRef>
          </c:val>
        </c:ser>
        <c:ser>
          <c:idx val="2"/>
          <c:order val="2"/>
          <c:tx>
            <c:strRef>
              <c:f>Report!$E$5</c:f>
              <c:strCache>
                <c:ptCount val="1"/>
                <c:pt idx="0">
                  <c:v>Total Readmitted </c:v>
                </c:pt>
              </c:strCache>
            </c:strRef>
          </c:tx>
          <c:marker>
            <c:symbol val="triangle"/>
            <c:size val="4"/>
          </c:marker>
          <c:cat>
            <c:numRef>
              <c:f>Report!$B$6:$B$28</c:f>
              <c:numCache>
                <c:formatCode>mmm\-yy</c:formatCode>
                <c:ptCount val="23"/>
                <c:pt idx="0">
                  <c:v>41365</c:v>
                </c:pt>
                <c:pt idx="1">
                  <c:v>41395</c:v>
                </c:pt>
                <c:pt idx="2">
                  <c:v>41426</c:v>
                </c:pt>
                <c:pt idx="3">
                  <c:v>41456</c:v>
                </c:pt>
                <c:pt idx="4">
                  <c:v>41487</c:v>
                </c:pt>
                <c:pt idx="5">
                  <c:v>41518</c:v>
                </c:pt>
                <c:pt idx="6">
                  <c:v>41548</c:v>
                </c:pt>
                <c:pt idx="7">
                  <c:v>41579</c:v>
                </c:pt>
                <c:pt idx="8">
                  <c:v>41609</c:v>
                </c:pt>
                <c:pt idx="9">
                  <c:v>41640</c:v>
                </c:pt>
                <c:pt idx="10">
                  <c:v>41671</c:v>
                </c:pt>
                <c:pt idx="11">
                  <c:v>41699</c:v>
                </c:pt>
                <c:pt idx="12">
                  <c:v>41730</c:v>
                </c:pt>
                <c:pt idx="13">
                  <c:v>41760</c:v>
                </c:pt>
                <c:pt idx="14">
                  <c:v>41791</c:v>
                </c:pt>
                <c:pt idx="15">
                  <c:v>41821</c:v>
                </c:pt>
                <c:pt idx="16">
                  <c:v>41852</c:v>
                </c:pt>
                <c:pt idx="17">
                  <c:v>41883</c:v>
                </c:pt>
                <c:pt idx="18">
                  <c:v>41913</c:v>
                </c:pt>
                <c:pt idx="19">
                  <c:v>41944</c:v>
                </c:pt>
                <c:pt idx="20">
                  <c:v>41974</c:v>
                </c:pt>
                <c:pt idx="21">
                  <c:v>42005</c:v>
                </c:pt>
                <c:pt idx="22">
                  <c:v>42036</c:v>
                </c:pt>
              </c:numCache>
            </c:numRef>
          </c:cat>
          <c:val>
            <c:numRef>
              <c:f>Report!$E$6:$E$28</c:f>
              <c:numCache>
                <c:formatCode>General</c:formatCode>
                <c:ptCount val="23"/>
                <c:pt idx="0">
                  <c:v>11</c:v>
                </c:pt>
                <c:pt idx="1">
                  <c:v>6</c:v>
                </c:pt>
                <c:pt idx="2">
                  <c:v>7</c:v>
                </c:pt>
                <c:pt idx="3">
                  <c:v>11</c:v>
                </c:pt>
                <c:pt idx="4">
                  <c:v>6</c:v>
                </c:pt>
                <c:pt idx="5">
                  <c:v>11</c:v>
                </c:pt>
                <c:pt idx="6">
                  <c:v>7</c:v>
                </c:pt>
                <c:pt idx="7">
                  <c:v>9</c:v>
                </c:pt>
                <c:pt idx="8">
                  <c:v>8</c:v>
                </c:pt>
                <c:pt idx="9">
                  <c:v>9</c:v>
                </c:pt>
                <c:pt idx="10">
                  <c:v>13</c:v>
                </c:pt>
                <c:pt idx="11">
                  <c:v>10</c:v>
                </c:pt>
                <c:pt idx="12">
                  <c:v>9</c:v>
                </c:pt>
                <c:pt idx="13">
                  <c:v>12</c:v>
                </c:pt>
                <c:pt idx="14">
                  <c:v>17</c:v>
                </c:pt>
                <c:pt idx="15">
                  <c:v>13</c:v>
                </c:pt>
                <c:pt idx="16">
                  <c:v>9</c:v>
                </c:pt>
                <c:pt idx="17">
                  <c:v>11</c:v>
                </c:pt>
                <c:pt idx="18">
                  <c:v>5</c:v>
                </c:pt>
                <c:pt idx="19">
                  <c:v>7</c:v>
                </c:pt>
                <c:pt idx="20">
                  <c:v>9</c:v>
                </c:pt>
                <c:pt idx="21">
                  <c:v>9</c:v>
                </c:pt>
                <c:pt idx="22">
                  <c:v>11</c:v>
                </c:pt>
              </c:numCache>
            </c:numRef>
          </c:val>
        </c:ser>
        <c:ser>
          <c:idx val="3"/>
          <c:order val="3"/>
          <c:tx>
            <c:strRef>
              <c:f>Report!$F$5</c:f>
              <c:strCache>
                <c:ptCount val="1"/>
                <c:pt idx="0">
                  <c:v>Incidence No. Of Creat Rise on ICE Day 1</c:v>
                </c:pt>
              </c:strCache>
            </c:strRef>
          </c:tx>
          <c:marker>
            <c:symbol val="circle"/>
            <c:size val="4"/>
          </c:marker>
          <c:cat>
            <c:numRef>
              <c:f>Report!$B$6:$B$28</c:f>
              <c:numCache>
                <c:formatCode>mmm\-yy</c:formatCode>
                <c:ptCount val="23"/>
                <c:pt idx="0">
                  <c:v>41365</c:v>
                </c:pt>
                <c:pt idx="1">
                  <c:v>41395</c:v>
                </c:pt>
                <c:pt idx="2">
                  <c:v>41426</c:v>
                </c:pt>
                <c:pt idx="3">
                  <c:v>41456</c:v>
                </c:pt>
                <c:pt idx="4">
                  <c:v>41487</c:v>
                </c:pt>
                <c:pt idx="5">
                  <c:v>41518</c:v>
                </c:pt>
                <c:pt idx="6">
                  <c:v>41548</c:v>
                </c:pt>
                <c:pt idx="7">
                  <c:v>41579</c:v>
                </c:pt>
                <c:pt idx="8">
                  <c:v>41609</c:v>
                </c:pt>
                <c:pt idx="9">
                  <c:v>41640</c:v>
                </c:pt>
                <c:pt idx="10">
                  <c:v>41671</c:v>
                </c:pt>
                <c:pt idx="11">
                  <c:v>41699</c:v>
                </c:pt>
                <c:pt idx="12">
                  <c:v>41730</c:v>
                </c:pt>
                <c:pt idx="13">
                  <c:v>41760</c:v>
                </c:pt>
                <c:pt idx="14">
                  <c:v>41791</c:v>
                </c:pt>
                <c:pt idx="15">
                  <c:v>41821</c:v>
                </c:pt>
                <c:pt idx="16">
                  <c:v>41852</c:v>
                </c:pt>
                <c:pt idx="17">
                  <c:v>41883</c:v>
                </c:pt>
                <c:pt idx="18">
                  <c:v>41913</c:v>
                </c:pt>
                <c:pt idx="19">
                  <c:v>41944</c:v>
                </c:pt>
                <c:pt idx="20">
                  <c:v>41974</c:v>
                </c:pt>
                <c:pt idx="21">
                  <c:v>42005</c:v>
                </c:pt>
                <c:pt idx="22">
                  <c:v>42036</c:v>
                </c:pt>
              </c:numCache>
            </c:numRef>
          </c:cat>
          <c:val>
            <c:numRef>
              <c:f>Report!$F$6:$F$28</c:f>
              <c:numCache>
                <c:formatCode>General</c:formatCode>
                <c:ptCount val="23"/>
                <c:pt idx="0">
                  <c:v>61</c:v>
                </c:pt>
                <c:pt idx="1">
                  <c:v>53</c:v>
                </c:pt>
                <c:pt idx="2">
                  <c:v>54</c:v>
                </c:pt>
                <c:pt idx="3">
                  <c:v>64</c:v>
                </c:pt>
                <c:pt idx="4">
                  <c:v>74</c:v>
                </c:pt>
                <c:pt idx="5">
                  <c:v>73</c:v>
                </c:pt>
                <c:pt idx="6">
                  <c:v>61</c:v>
                </c:pt>
                <c:pt idx="7">
                  <c:v>58</c:v>
                </c:pt>
                <c:pt idx="8">
                  <c:v>42</c:v>
                </c:pt>
                <c:pt idx="9">
                  <c:v>50</c:v>
                </c:pt>
                <c:pt idx="10">
                  <c:v>52</c:v>
                </c:pt>
                <c:pt idx="11">
                  <c:v>48</c:v>
                </c:pt>
                <c:pt idx="12">
                  <c:v>46</c:v>
                </c:pt>
                <c:pt idx="13">
                  <c:v>60</c:v>
                </c:pt>
                <c:pt idx="14">
                  <c:v>58</c:v>
                </c:pt>
                <c:pt idx="15">
                  <c:v>60</c:v>
                </c:pt>
                <c:pt idx="16">
                  <c:v>57</c:v>
                </c:pt>
                <c:pt idx="17">
                  <c:v>65</c:v>
                </c:pt>
                <c:pt idx="18">
                  <c:v>52</c:v>
                </c:pt>
                <c:pt idx="19">
                  <c:v>48</c:v>
                </c:pt>
                <c:pt idx="20">
                  <c:v>60</c:v>
                </c:pt>
                <c:pt idx="21">
                  <c:v>61</c:v>
                </c:pt>
                <c:pt idx="22">
                  <c:v>59</c:v>
                </c:pt>
              </c:numCache>
            </c:numRef>
          </c:val>
        </c:ser>
        <c:ser>
          <c:idx val="4"/>
          <c:order val="4"/>
          <c:tx>
            <c:strRef>
              <c:f>Report!$G$5</c:f>
              <c:strCache>
                <c:ptCount val="1"/>
                <c:pt idx="0">
                  <c:v>% Creat rise</c:v>
                </c:pt>
              </c:strCache>
            </c:strRef>
          </c:tx>
          <c:spPr>
            <a:ln w="38100"/>
          </c:spPr>
          <c:marker>
            <c:symbol val="star"/>
            <c:size val="10"/>
          </c:marker>
          <c:cat>
            <c:numRef>
              <c:f>Report!$B$6:$B$28</c:f>
              <c:numCache>
                <c:formatCode>mmm\-yy</c:formatCode>
                <c:ptCount val="23"/>
                <c:pt idx="0">
                  <c:v>41365</c:v>
                </c:pt>
                <c:pt idx="1">
                  <c:v>41395</c:v>
                </c:pt>
                <c:pt idx="2">
                  <c:v>41426</c:v>
                </c:pt>
                <c:pt idx="3">
                  <c:v>41456</c:v>
                </c:pt>
                <c:pt idx="4">
                  <c:v>41487</c:v>
                </c:pt>
                <c:pt idx="5">
                  <c:v>41518</c:v>
                </c:pt>
                <c:pt idx="6">
                  <c:v>41548</c:v>
                </c:pt>
                <c:pt idx="7">
                  <c:v>41579</c:v>
                </c:pt>
                <c:pt idx="8">
                  <c:v>41609</c:v>
                </c:pt>
                <c:pt idx="9">
                  <c:v>41640</c:v>
                </c:pt>
                <c:pt idx="10">
                  <c:v>41671</c:v>
                </c:pt>
                <c:pt idx="11">
                  <c:v>41699</c:v>
                </c:pt>
                <c:pt idx="12">
                  <c:v>41730</c:v>
                </c:pt>
                <c:pt idx="13">
                  <c:v>41760</c:v>
                </c:pt>
                <c:pt idx="14">
                  <c:v>41791</c:v>
                </c:pt>
                <c:pt idx="15">
                  <c:v>41821</c:v>
                </c:pt>
                <c:pt idx="16">
                  <c:v>41852</c:v>
                </c:pt>
                <c:pt idx="17">
                  <c:v>41883</c:v>
                </c:pt>
                <c:pt idx="18">
                  <c:v>41913</c:v>
                </c:pt>
                <c:pt idx="19">
                  <c:v>41944</c:v>
                </c:pt>
                <c:pt idx="20">
                  <c:v>41974</c:v>
                </c:pt>
                <c:pt idx="21">
                  <c:v>42005</c:v>
                </c:pt>
                <c:pt idx="22">
                  <c:v>42036</c:v>
                </c:pt>
              </c:numCache>
            </c:numRef>
          </c:cat>
          <c:val>
            <c:numRef>
              <c:f>Report!$G$6:$G$28</c:f>
              <c:numCache>
                <c:formatCode>0</c:formatCode>
                <c:ptCount val="23"/>
                <c:pt idx="0">
                  <c:v>35</c:v>
                </c:pt>
                <c:pt idx="1">
                  <c:v>36</c:v>
                </c:pt>
                <c:pt idx="2">
                  <c:v>36</c:v>
                </c:pt>
                <c:pt idx="3">
                  <c:v>34</c:v>
                </c:pt>
                <c:pt idx="4">
                  <c:v>45</c:v>
                </c:pt>
                <c:pt idx="5">
                  <c:v>43</c:v>
                </c:pt>
                <c:pt idx="6">
                  <c:v>34</c:v>
                </c:pt>
                <c:pt idx="7">
                  <c:v>38</c:v>
                </c:pt>
                <c:pt idx="8">
                  <c:v>31</c:v>
                </c:pt>
                <c:pt idx="9">
                  <c:v>30</c:v>
                </c:pt>
                <c:pt idx="10">
                  <c:v>37</c:v>
                </c:pt>
                <c:pt idx="11">
                  <c:v>36</c:v>
                </c:pt>
                <c:pt idx="12">
                  <c:v>28</c:v>
                </c:pt>
                <c:pt idx="13">
                  <c:v>34</c:v>
                </c:pt>
                <c:pt idx="14">
                  <c:v>29</c:v>
                </c:pt>
                <c:pt idx="15">
                  <c:v>30</c:v>
                </c:pt>
                <c:pt idx="16">
                  <c:v>33</c:v>
                </c:pt>
                <c:pt idx="17">
                  <c:v>34</c:v>
                </c:pt>
                <c:pt idx="18">
                  <c:v>26</c:v>
                </c:pt>
                <c:pt idx="19">
                  <c:v>25</c:v>
                </c:pt>
                <c:pt idx="20">
                  <c:v>41</c:v>
                </c:pt>
                <c:pt idx="21">
                  <c:v>39</c:v>
                </c:pt>
                <c:pt idx="22">
                  <c:v>37</c:v>
                </c:pt>
              </c:numCache>
            </c:numRef>
          </c:val>
        </c:ser>
        <c:dLbls/>
        <c:marker val="1"/>
        <c:axId val="68659840"/>
        <c:axId val="68678016"/>
      </c:lineChart>
      <c:dateAx>
        <c:axId val="68659840"/>
        <c:scaling>
          <c:orientation val="minMax"/>
        </c:scaling>
        <c:axPos val="b"/>
        <c:numFmt formatCode="mmm\-yy" sourceLinked="1"/>
        <c:majorTickMark val="none"/>
        <c:tickLblPos val="nextTo"/>
        <c:crossAx val="68678016"/>
        <c:crosses val="autoZero"/>
        <c:auto val="1"/>
        <c:lblOffset val="100"/>
        <c:baseTimeUnit val="months"/>
      </c:dateAx>
      <c:valAx>
        <c:axId val="68678016"/>
        <c:scaling>
          <c:orientation val="minMax"/>
        </c:scaling>
        <c:axPos val="l"/>
        <c:majorGridlines/>
        <c:numFmt formatCode="General" sourceLinked="1"/>
        <c:majorTickMark val="none"/>
        <c:tickLblPos val="nextTo"/>
        <c:spPr>
          <a:ln w="9525">
            <a:noFill/>
          </a:ln>
        </c:spPr>
        <c:crossAx val="68659840"/>
        <c:crosses val="autoZero"/>
        <c:crossBetween val="between"/>
      </c:valAx>
    </c:plotArea>
    <c:legend>
      <c:legendPos val="b"/>
      <c:layout>
        <c:manualLayout>
          <c:xMode val="edge"/>
          <c:yMode val="edge"/>
          <c:x val="4.0175982100598084E-2"/>
          <c:y val="0.92956940005930222"/>
          <c:w val="0.91145131448732841"/>
          <c:h val="5.7878298685467663E-2"/>
        </c:manualLayout>
      </c:layout>
    </c:legend>
    <c:plotVisOnly val="1"/>
    <c:dispBlanksAs val="gap"/>
  </c:chart>
  <c:externalData r:id="rId1"/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title>
      <c:tx>
        <c:rich>
          <a:bodyPr/>
          <a:lstStyle/>
          <a:p>
            <a:pPr>
              <a:defRPr/>
            </a:pPr>
            <a:r>
              <a:rPr lang="en-GB"/>
              <a:t>Stage</a:t>
            </a:r>
            <a:r>
              <a:rPr lang="en-GB" baseline="0"/>
              <a:t> of AKI at day 1 &amp; day 2 post op</a:t>
            </a:r>
          </a:p>
          <a:p>
            <a:pPr>
              <a:defRPr/>
            </a:pPr>
            <a:r>
              <a:rPr lang="en-GB" baseline="0"/>
              <a:t>December 2014</a:t>
            </a:r>
            <a:endParaRPr lang="en-GB"/>
          </a:p>
        </c:rich>
      </c:tx>
    </c:title>
    <c:plotArea>
      <c:layout/>
      <c:barChart>
        <c:barDir val="col"/>
        <c:grouping val="percentStacked"/>
        <c:ser>
          <c:idx val="0"/>
          <c:order val="0"/>
          <c:tx>
            <c:strRef>
              <c:f>'Creatinine Levels'!$P$64</c:f>
              <c:strCache>
                <c:ptCount val="1"/>
                <c:pt idx="0">
                  <c:v>Day 1</c:v>
                </c:pt>
              </c:strCache>
            </c:strRef>
          </c:tx>
          <c:dLbls>
            <c:showVal val="1"/>
          </c:dLbls>
          <c:cat>
            <c:strRef>
              <c:f>'Creatinine Levels'!$O$65:$O$68</c:f>
              <c:strCache>
                <c:ptCount val="4"/>
                <c:pt idx="0">
                  <c:v>Stage 0</c:v>
                </c:pt>
                <c:pt idx="1">
                  <c:v>Stage 1</c:v>
                </c:pt>
                <c:pt idx="2">
                  <c:v>Stage 2</c:v>
                </c:pt>
                <c:pt idx="3">
                  <c:v>Stage 3</c:v>
                </c:pt>
              </c:strCache>
            </c:strRef>
          </c:cat>
          <c:val>
            <c:numRef>
              <c:f>'Creatinine Levels'!$P$65:$P$68</c:f>
              <c:numCache>
                <c:formatCode>General</c:formatCode>
                <c:ptCount val="4"/>
                <c:pt idx="0">
                  <c:v>1</c:v>
                </c:pt>
                <c:pt idx="1">
                  <c:v>54</c:v>
                </c:pt>
                <c:pt idx="2">
                  <c:v>5</c:v>
                </c:pt>
              </c:numCache>
            </c:numRef>
          </c:val>
        </c:ser>
        <c:ser>
          <c:idx val="1"/>
          <c:order val="1"/>
          <c:tx>
            <c:strRef>
              <c:f>'Creatinine Levels'!$Q$64</c:f>
              <c:strCache>
                <c:ptCount val="1"/>
                <c:pt idx="0">
                  <c:v>Day 2</c:v>
                </c:pt>
              </c:strCache>
            </c:strRef>
          </c:tx>
          <c:dLbls>
            <c:showVal val="1"/>
          </c:dLbls>
          <c:cat>
            <c:strRef>
              <c:f>'Creatinine Levels'!$O$65:$O$68</c:f>
              <c:strCache>
                <c:ptCount val="4"/>
                <c:pt idx="0">
                  <c:v>Stage 0</c:v>
                </c:pt>
                <c:pt idx="1">
                  <c:v>Stage 1</c:v>
                </c:pt>
                <c:pt idx="2">
                  <c:v>Stage 2</c:v>
                </c:pt>
                <c:pt idx="3">
                  <c:v>Stage 3</c:v>
                </c:pt>
              </c:strCache>
            </c:strRef>
          </c:cat>
          <c:val>
            <c:numRef>
              <c:f>'Creatinine Levels'!$Q$65:$Q$68</c:f>
              <c:numCache>
                <c:formatCode>General</c:formatCode>
                <c:ptCount val="4"/>
                <c:pt idx="0">
                  <c:v>22</c:v>
                </c:pt>
                <c:pt idx="1">
                  <c:v>29</c:v>
                </c:pt>
                <c:pt idx="2">
                  <c:v>8</c:v>
                </c:pt>
                <c:pt idx="3">
                  <c:v>1</c:v>
                </c:pt>
              </c:numCache>
            </c:numRef>
          </c:val>
        </c:ser>
        <c:dLbls/>
        <c:gapWidth val="75"/>
        <c:overlap val="100"/>
        <c:axId val="68748800"/>
        <c:axId val="68750336"/>
      </c:barChart>
      <c:catAx>
        <c:axId val="68748800"/>
        <c:scaling>
          <c:orientation val="minMax"/>
        </c:scaling>
        <c:axPos val="b"/>
        <c:majorTickMark val="none"/>
        <c:tickLblPos val="nextTo"/>
        <c:crossAx val="68750336"/>
        <c:crosses val="autoZero"/>
        <c:auto val="1"/>
        <c:lblAlgn val="ctr"/>
        <c:lblOffset val="100"/>
      </c:catAx>
      <c:valAx>
        <c:axId val="68750336"/>
        <c:scaling>
          <c:orientation val="minMax"/>
        </c:scaling>
        <c:axPos val="l"/>
        <c:majorGridlines/>
        <c:numFmt formatCode="0%" sourceLinked="1"/>
        <c:majorTickMark val="none"/>
        <c:tickLblPos val="nextTo"/>
        <c:spPr>
          <a:ln w="9525">
            <a:noFill/>
          </a:ln>
        </c:spPr>
        <c:crossAx val="68748800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GB"/>
  <c:chart>
    <c:title>
      <c:tx>
        <c:rich>
          <a:bodyPr/>
          <a:lstStyle/>
          <a:p>
            <a:pPr>
              <a:defRPr/>
            </a:pPr>
            <a:r>
              <a:rPr lang="en-GB"/>
              <a:t>Stage</a:t>
            </a:r>
            <a:r>
              <a:rPr lang="en-GB" baseline="0"/>
              <a:t> of AKI at day 1 &amp; day 2 post op</a:t>
            </a:r>
          </a:p>
          <a:p>
            <a:pPr>
              <a:defRPr/>
            </a:pPr>
            <a:r>
              <a:rPr lang="en-GB" baseline="0"/>
              <a:t>January 2015</a:t>
            </a:r>
            <a:endParaRPr lang="en-GB"/>
          </a:p>
        </c:rich>
      </c:tx>
    </c:title>
    <c:plotArea>
      <c:layout/>
      <c:barChart>
        <c:barDir val="col"/>
        <c:grouping val="percentStacked"/>
        <c:ser>
          <c:idx val="0"/>
          <c:order val="0"/>
          <c:tx>
            <c:strRef>
              <c:f>'Creatinine Levels'!$Q$64</c:f>
              <c:strCache>
                <c:ptCount val="1"/>
                <c:pt idx="0">
                  <c:v>Day 1</c:v>
                </c:pt>
              </c:strCache>
            </c:strRef>
          </c:tx>
          <c:dLbls>
            <c:showVal val="1"/>
          </c:dLbls>
          <c:cat>
            <c:strRef>
              <c:f>'Creatinine Levels'!$P$65:$P$68</c:f>
              <c:strCache>
                <c:ptCount val="4"/>
                <c:pt idx="0">
                  <c:v>Stage 0</c:v>
                </c:pt>
                <c:pt idx="1">
                  <c:v>Stage 1</c:v>
                </c:pt>
                <c:pt idx="2">
                  <c:v>Stage 2</c:v>
                </c:pt>
                <c:pt idx="3">
                  <c:v>Stage 3</c:v>
                </c:pt>
              </c:strCache>
            </c:strRef>
          </c:cat>
          <c:val>
            <c:numRef>
              <c:f>'Creatinine Levels'!$Q$65:$Q$68</c:f>
              <c:numCache>
                <c:formatCode>General</c:formatCode>
                <c:ptCount val="4"/>
                <c:pt idx="1">
                  <c:v>58</c:v>
                </c:pt>
                <c:pt idx="2">
                  <c:v>3</c:v>
                </c:pt>
              </c:numCache>
            </c:numRef>
          </c:val>
        </c:ser>
        <c:ser>
          <c:idx val="1"/>
          <c:order val="1"/>
          <c:tx>
            <c:strRef>
              <c:f>'Creatinine Levels'!$R$64</c:f>
              <c:strCache>
                <c:ptCount val="1"/>
                <c:pt idx="0">
                  <c:v>Day 2</c:v>
                </c:pt>
              </c:strCache>
            </c:strRef>
          </c:tx>
          <c:dLbls>
            <c:showVal val="1"/>
          </c:dLbls>
          <c:cat>
            <c:strRef>
              <c:f>'Creatinine Levels'!$P$65:$P$68</c:f>
              <c:strCache>
                <c:ptCount val="4"/>
                <c:pt idx="0">
                  <c:v>Stage 0</c:v>
                </c:pt>
                <c:pt idx="1">
                  <c:v>Stage 1</c:v>
                </c:pt>
                <c:pt idx="2">
                  <c:v>Stage 2</c:v>
                </c:pt>
                <c:pt idx="3">
                  <c:v>Stage 3</c:v>
                </c:pt>
              </c:strCache>
            </c:strRef>
          </c:cat>
          <c:val>
            <c:numRef>
              <c:f>'Creatinine Levels'!$R$65:$R$68</c:f>
              <c:numCache>
                <c:formatCode>General</c:formatCode>
                <c:ptCount val="4"/>
                <c:pt idx="0">
                  <c:v>14</c:v>
                </c:pt>
                <c:pt idx="1">
                  <c:v>32</c:v>
                </c:pt>
                <c:pt idx="2">
                  <c:v>14</c:v>
                </c:pt>
                <c:pt idx="3">
                  <c:v>1</c:v>
                </c:pt>
              </c:numCache>
            </c:numRef>
          </c:val>
        </c:ser>
        <c:dLbls/>
        <c:gapWidth val="75"/>
        <c:overlap val="100"/>
        <c:axId val="69329280"/>
        <c:axId val="69330816"/>
      </c:barChart>
      <c:catAx>
        <c:axId val="69329280"/>
        <c:scaling>
          <c:orientation val="minMax"/>
        </c:scaling>
        <c:axPos val="b"/>
        <c:majorTickMark val="none"/>
        <c:tickLblPos val="nextTo"/>
        <c:crossAx val="69330816"/>
        <c:crosses val="autoZero"/>
        <c:auto val="1"/>
        <c:lblAlgn val="ctr"/>
        <c:lblOffset val="100"/>
      </c:catAx>
      <c:valAx>
        <c:axId val="69330816"/>
        <c:scaling>
          <c:orientation val="minMax"/>
        </c:scaling>
        <c:axPos val="l"/>
        <c:majorGridlines/>
        <c:numFmt formatCode="0%" sourceLinked="1"/>
        <c:majorTickMark val="none"/>
        <c:tickLblPos val="nextTo"/>
        <c:spPr>
          <a:ln w="9525">
            <a:noFill/>
          </a:ln>
        </c:spPr>
        <c:crossAx val="69329280"/>
        <c:crosses val="autoZero"/>
        <c:crossBetween val="between"/>
      </c:valAx>
    </c:plotArea>
    <c:legend>
      <c:legendPos val="b"/>
    </c:legend>
    <c:plotVisOnly val="1"/>
    <c:dispBlanksAs val="gap"/>
  </c:chart>
  <c:externalData r:id="rId1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0.59153</cdr:x>
      <cdr:y>0.17992</cdr:y>
    </cdr:from>
    <cdr:to>
      <cdr:x>0.59563</cdr:x>
      <cdr:y>0.85983</cdr:y>
    </cdr:to>
    <cdr:cxnSp macro="">
      <cdr:nvCxnSpPr>
        <cdr:cNvPr id="5" name="Straight Arrow Connector 4"/>
        <cdr:cNvCxnSpPr/>
      </cdr:nvCxnSpPr>
      <cdr:spPr>
        <a:xfrm xmlns:a="http://schemas.openxmlformats.org/drawingml/2006/main" flipH="1" flipV="1">
          <a:off x="5499072" y="1092210"/>
          <a:ext cx="38115" cy="4127462"/>
        </a:xfrm>
        <a:prstGeom xmlns:a="http://schemas.openxmlformats.org/drawingml/2006/main" prst="straightConnector1">
          <a:avLst/>
        </a:prstGeom>
        <a:ln xmlns:a="http://schemas.openxmlformats.org/drawingml/2006/main">
          <a:tailEnd type="arrow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0.52869</cdr:x>
      <cdr:y>0.14854</cdr:y>
    </cdr:from>
    <cdr:to>
      <cdr:x>0.7541</cdr:x>
      <cdr:y>0.1841</cdr:y>
    </cdr:to>
    <cdr:sp macro="" textlink="">
      <cdr:nvSpPr>
        <cdr:cNvPr id="6" name="TextBox 5"/>
        <cdr:cNvSpPr txBox="1"/>
      </cdr:nvSpPr>
      <cdr:spPr>
        <a:xfrm xmlns:a="http://schemas.openxmlformats.org/drawingml/2006/main">
          <a:off x="4914900" y="901700"/>
          <a:ext cx="2095500" cy="21590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en-GB" sz="1100"/>
            <a:t>Fluid</a:t>
          </a:r>
          <a:r>
            <a:rPr lang="en-GB" sz="1100" baseline="0"/>
            <a:t> protocol launch April 14</a:t>
          </a:r>
          <a:endParaRPr lang="en-GB" sz="1100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Papworth Hospital NHS Foundation Trust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Rogan Louise</dc:creator>
  <cp:keywords/>
  <dc:description/>
  <cp:lastModifiedBy>Maire Gilhooly</cp:lastModifiedBy>
  <cp:revision>2</cp:revision>
  <cp:lastPrinted>2015-03-18T13:53:00Z</cp:lastPrinted>
  <dcterms:created xsi:type="dcterms:W3CDTF">2015-03-30T10:09:00Z</dcterms:created>
  <dcterms:modified xsi:type="dcterms:W3CDTF">2015-03-30T10:09:00Z</dcterms:modified>
</cp:coreProperties>
</file>